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rPr>
          <w:i w:val="1"/>
        </w:rPr>
      </w:pPr>
      <w:bookmarkStart w:colFirst="0" w:colLast="0" w:name="_gjdgxs" w:id="0"/>
      <w:bookmarkEnd w:id="0"/>
      <w:r w:rsidDel="00000000" w:rsidR="00000000" w:rsidRPr="00000000">
        <w:rPr>
          <w:i w:val="1"/>
          <w:rtl w:val="0"/>
        </w:rPr>
        <w:t xml:space="preserve">Here at the Society of Antiquaries of London we take your privacy seriously. If you provide personal data in order to register as an Athens user, we will only process the data you have given us for the effective management of this scheme. We may contact you in connection with your Athens account using the contact details you have provided to us, but we will not use this information for any other purpose. For further information, please see our </w:t>
      </w:r>
      <w:hyperlink r:id="rId6">
        <w:r w:rsidDel="00000000" w:rsidR="00000000" w:rsidRPr="00000000">
          <w:rPr>
            <w:i w:val="1"/>
            <w:color w:val="0000ff"/>
            <w:u w:val="single"/>
            <w:rtl w:val="0"/>
          </w:rPr>
          <w:t xml:space="preserve">privacy policy</w:t>
        </w:r>
      </w:hyperlink>
      <w:r w:rsidDel="00000000" w:rsidR="00000000" w:rsidRPr="00000000">
        <w:rPr>
          <w:i w:val="1"/>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color w:val="000000"/>
        </w:rPr>
      </w:pPr>
      <w:r w:rsidDel="00000000" w:rsidR="00000000" w:rsidRPr="00000000">
        <w:rPr>
          <w:b w:val="1"/>
          <w:color w:val="000000"/>
          <w:rtl w:val="0"/>
        </w:rPr>
        <w:t xml:space="preserve">Permission tick-box (necessary field)</w:t>
      </w:r>
    </w:p>
    <w:p w:rsidR="00000000" w:rsidDel="00000000" w:rsidP="00000000" w:rsidRDefault="00000000" w:rsidRPr="00000000" w14:paraId="00000005">
      <w:pPr>
        <w:rPr/>
      </w:pPr>
      <w:r w:rsidDel="00000000" w:rsidR="00000000" w:rsidRPr="00000000">
        <w:rPr>
          <w:color w:val="000000"/>
          <w:rtl w:val="0"/>
        </w:rPr>
        <w:t xml:space="preserve">[   ] </w:t>
      </w:r>
      <w:r w:rsidDel="00000000" w:rsidR="00000000" w:rsidRPr="00000000">
        <w:rPr>
          <w:rtl w:val="0"/>
        </w:rPr>
        <w:t xml:space="preserve">I hereby grant the Society of Antiquaries of London the right to process my personal data for the purposes of registering me as an Athens user and to contact me in connection with my account. For further information, please see our </w:t>
      </w:r>
      <w:hyperlink r:id="rId7">
        <w:r w:rsidDel="00000000" w:rsidR="00000000" w:rsidRPr="00000000">
          <w:rPr>
            <w:color w:val="0000ff"/>
            <w:u w:val="single"/>
            <w:rtl w:val="0"/>
          </w:rPr>
          <w:t xml:space="preserve">privacy policy</w:t>
        </w:r>
      </w:hyperlink>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660066"/>
          <w:sz w:val="32"/>
          <w:szCs w:val="32"/>
        </w:rPr>
      </w:pPr>
      <w:r w:rsidDel="00000000" w:rsidR="00000000" w:rsidRPr="00000000">
        <w:rPr>
          <w:b w:val="1"/>
          <w:sz w:val="32"/>
          <w:szCs w:val="32"/>
          <w:rtl w:val="0"/>
        </w:rPr>
        <w:t xml:space="preserve">OPEN ATHENS REGISTRATION FORM</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I am a Fellow of the Society of Antiquaries of London, and wish to register as an ATHENS user. I understand that I must not share my passwords and login details with anyone else. I agree to abide by the copyright terms and conditions of the publishers, a summary of which can be read below.</w:t>
      </w:r>
    </w:p>
    <w:p w:rsidR="00000000" w:rsidDel="00000000" w:rsidP="00000000" w:rsidRDefault="00000000" w:rsidRPr="00000000" w14:paraId="00000009">
      <w:pPr>
        <w:spacing w:after="160" w:before="160" w:lineRule="auto"/>
        <w:jc w:val="both"/>
        <w:rPr>
          <w:b w:val="1"/>
          <w:sz w:val="28"/>
          <w:szCs w:val="28"/>
        </w:rPr>
      </w:pPr>
      <w:r w:rsidDel="00000000" w:rsidR="00000000" w:rsidRPr="00000000">
        <w:rPr>
          <w:b w:val="1"/>
          <w:sz w:val="28"/>
          <w:szCs w:val="28"/>
          <w:rtl w:val="0"/>
        </w:rPr>
        <w:t xml:space="preserve">Copyright statement</w:t>
      </w:r>
    </w:p>
    <w:p w:rsidR="00000000" w:rsidDel="00000000" w:rsidP="00000000" w:rsidRDefault="00000000" w:rsidRPr="00000000" w14:paraId="0000000A">
      <w:pPr>
        <w:jc w:val="both"/>
        <w:rPr>
          <w:i w:val="1"/>
          <w:sz w:val="22"/>
          <w:szCs w:val="22"/>
        </w:rPr>
      </w:pPr>
      <w:r w:rsidDel="00000000" w:rsidR="00000000" w:rsidRPr="00000000">
        <w:rPr>
          <w:i w:val="1"/>
          <w:sz w:val="22"/>
          <w:szCs w:val="22"/>
          <w:rtl w:val="0"/>
        </w:rPr>
        <w:t xml:space="preserve">This is not a full statement of copyright law but is intended as a guide for our users. For further information on Terms and Conditions please refer to the publishers’ websites.</w:t>
      </w:r>
    </w:p>
    <w:p w:rsidR="00000000" w:rsidDel="00000000" w:rsidP="00000000" w:rsidRDefault="00000000" w:rsidRPr="00000000" w14:paraId="0000000B">
      <w:pPr>
        <w:spacing w:before="160" w:lineRule="auto"/>
        <w:jc w:val="both"/>
        <w:rPr>
          <w:sz w:val="22"/>
          <w:szCs w:val="22"/>
        </w:rPr>
      </w:pPr>
      <w:r w:rsidDel="00000000" w:rsidR="00000000" w:rsidRPr="00000000">
        <w:rPr>
          <w:sz w:val="22"/>
          <w:szCs w:val="22"/>
          <w:rtl w:val="0"/>
        </w:rPr>
        <w:t xml:space="preserve">Authorized Users </w:t>
      </w:r>
      <w:r w:rsidDel="00000000" w:rsidR="00000000" w:rsidRPr="00000000">
        <w:rPr>
          <w:b w:val="1"/>
          <w:sz w:val="22"/>
          <w:szCs w:val="22"/>
          <w:rtl w:val="0"/>
        </w:rPr>
        <w:t xml:space="preserve">may</w:t>
      </w:r>
      <w:r w:rsidDel="00000000" w:rsidR="00000000" w:rsidRPr="00000000">
        <w:rPr>
          <w:sz w:val="22"/>
          <w:szCs w:val="22"/>
          <w:rtl w:val="0"/>
        </w:rPr>
        <w:t xml:space="preserve">:</w:t>
      </w:r>
    </w:p>
    <w:p w:rsidR="00000000" w:rsidDel="00000000" w:rsidP="00000000" w:rsidRDefault="00000000" w:rsidRPr="00000000" w14:paraId="0000000C">
      <w:pPr>
        <w:numPr>
          <w:ilvl w:val="0"/>
          <w:numId w:val="1"/>
        </w:numPr>
        <w:ind w:left="720" w:hanging="360"/>
        <w:jc w:val="both"/>
        <w:rPr>
          <w:sz w:val="22"/>
          <w:szCs w:val="22"/>
        </w:rPr>
      </w:pPr>
      <w:r w:rsidDel="00000000" w:rsidR="00000000" w:rsidRPr="00000000">
        <w:rPr>
          <w:sz w:val="22"/>
          <w:szCs w:val="22"/>
          <w:rtl w:val="0"/>
        </w:rPr>
        <w:t xml:space="preserve">Search, view, retrieve and display the Licensed Content.</w:t>
      </w:r>
    </w:p>
    <w:p w:rsidR="00000000" w:rsidDel="00000000" w:rsidP="00000000" w:rsidRDefault="00000000" w:rsidRPr="00000000" w14:paraId="0000000D">
      <w:pPr>
        <w:numPr>
          <w:ilvl w:val="0"/>
          <w:numId w:val="1"/>
        </w:numPr>
        <w:ind w:left="720" w:hanging="360"/>
        <w:jc w:val="both"/>
        <w:rPr>
          <w:sz w:val="22"/>
          <w:szCs w:val="22"/>
        </w:rPr>
      </w:pPr>
      <w:r w:rsidDel="00000000" w:rsidR="00000000" w:rsidRPr="00000000">
        <w:rPr>
          <w:sz w:val="22"/>
          <w:szCs w:val="22"/>
          <w:rtl w:val="0"/>
        </w:rPr>
        <w:t xml:space="preserve">Print off a single copy of individual articles or items for personal use or scholarly, educational or scientific research but </w:t>
      </w:r>
      <w:r w:rsidDel="00000000" w:rsidR="00000000" w:rsidRPr="00000000">
        <w:rPr>
          <w:b w:val="1"/>
          <w:sz w:val="22"/>
          <w:szCs w:val="22"/>
          <w:rtl w:val="0"/>
        </w:rPr>
        <w:t xml:space="preserve">not</w:t>
      </w:r>
      <w:r w:rsidDel="00000000" w:rsidR="00000000" w:rsidRPr="00000000">
        <w:rPr>
          <w:sz w:val="22"/>
          <w:szCs w:val="22"/>
          <w:rtl w:val="0"/>
        </w:rPr>
        <w:t xml:space="preserve"> for Commercial Use.</w:t>
      </w:r>
    </w:p>
    <w:p w:rsidR="00000000" w:rsidDel="00000000" w:rsidP="00000000" w:rsidRDefault="00000000" w:rsidRPr="00000000" w14:paraId="0000000E">
      <w:pPr>
        <w:spacing w:before="160" w:lineRule="auto"/>
        <w:jc w:val="both"/>
        <w:rPr>
          <w:sz w:val="22"/>
          <w:szCs w:val="22"/>
        </w:rPr>
      </w:pPr>
      <w:r w:rsidDel="00000000" w:rsidR="00000000" w:rsidRPr="00000000">
        <w:rPr>
          <w:sz w:val="22"/>
          <w:szCs w:val="22"/>
          <w:rtl w:val="0"/>
        </w:rPr>
        <w:t xml:space="preserve">Authorized Users </w:t>
      </w:r>
      <w:r w:rsidDel="00000000" w:rsidR="00000000" w:rsidRPr="00000000">
        <w:rPr>
          <w:b w:val="1"/>
          <w:sz w:val="22"/>
          <w:szCs w:val="22"/>
          <w:rtl w:val="0"/>
        </w:rPr>
        <w:t xml:space="preserve">may not</w:t>
      </w:r>
      <w:r w:rsidDel="00000000" w:rsidR="00000000" w:rsidRPr="00000000">
        <w:rPr>
          <w:sz w:val="22"/>
          <w:szCs w:val="22"/>
          <w:rtl w:val="0"/>
        </w:rPr>
        <w:t xml:space="preserve">:</w:t>
      </w:r>
    </w:p>
    <w:p w:rsidR="00000000" w:rsidDel="00000000" w:rsidP="00000000" w:rsidRDefault="00000000" w:rsidRPr="00000000" w14:paraId="0000000F">
      <w:pPr>
        <w:numPr>
          <w:ilvl w:val="0"/>
          <w:numId w:val="2"/>
        </w:numPr>
        <w:ind w:left="720" w:hanging="360"/>
        <w:jc w:val="both"/>
        <w:rPr>
          <w:sz w:val="22"/>
          <w:szCs w:val="22"/>
        </w:rPr>
      </w:pPr>
      <w:r w:rsidDel="00000000" w:rsidR="00000000" w:rsidRPr="00000000">
        <w:rPr>
          <w:sz w:val="22"/>
          <w:szCs w:val="22"/>
          <w:rtl w:val="0"/>
        </w:rPr>
        <w:t xml:space="preserve">Remove or alter the authors’ or Publishers’ names or the Publishers licensors’ copyright notices or other means of identification or disclaimers as they appear in the Licensed Content.</w:t>
      </w:r>
    </w:p>
    <w:p w:rsidR="00000000" w:rsidDel="00000000" w:rsidP="00000000" w:rsidRDefault="00000000" w:rsidRPr="00000000" w14:paraId="00000010">
      <w:pPr>
        <w:numPr>
          <w:ilvl w:val="0"/>
          <w:numId w:val="2"/>
        </w:numPr>
        <w:ind w:left="720" w:hanging="360"/>
        <w:jc w:val="both"/>
        <w:rPr>
          <w:sz w:val="22"/>
          <w:szCs w:val="22"/>
        </w:rPr>
      </w:pPr>
      <w:r w:rsidDel="00000000" w:rsidR="00000000" w:rsidRPr="00000000">
        <w:rPr>
          <w:sz w:val="22"/>
          <w:szCs w:val="22"/>
          <w:rtl w:val="0"/>
        </w:rPr>
        <w:t xml:space="preserve">Systematically make print or electronic copies of multiple extracts for any purpose.</w:t>
      </w:r>
    </w:p>
    <w:p w:rsidR="00000000" w:rsidDel="00000000" w:rsidP="00000000" w:rsidRDefault="00000000" w:rsidRPr="00000000" w14:paraId="00000011">
      <w:pPr>
        <w:numPr>
          <w:ilvl w:val="0"/>
          <w:numId w:val="2"/>
        </w:numPr>
        <w:ind w:left="720" w:hanging="360"/>
        <w:jc w:val="both"/>
        <w:rPr>
          <w:sz w:val="22"/>
          <w:szCs w:val="22"/>
        </w:rPr>
      </w:pPr>
      <w:r w:rsidDel="00000000" w:rsidR="00000000" w:rsidRPr="00000000">
        <w:rPr>
          <w:sz w:val="22"/>
          <w:szCs w:val="22"/>
          <w:rtl w:val="0"/>
        </w:rPr>
        <w:t xml:space="preserve">Make the Materials available in any other form or create derivative works.</w:t>
      </w:r>
    </w:p>
    <w:p w:rsidR="00000000" w:rsidDel="00000000" w:rsidP="00000000" w:rsidRDefault="00000000" w:rsidRPr="00000000" w14:paraId="00000012">
      <w:pPr>
        <w:numPr>
          <w:ilvl w:val="0"/>
          <w:numId w:val="2"/>
        </w:numPr>
        <w:ind w:left="720" w:hanging="360"/>
        <w:jc w:val="both"/>
        <w:rPr>
          <w:sz w:val="22"/>
          <w:szCs w:val="22"/>
        </w:rPr>
      </w:pPr>
      <w:r w:rsidDel="00000000" w:rsidR="00000000" w:rsidRPr="00000000">
        <w:rPr>
          <w:sz w:val="22"/>
          <w:szCs w:val="22"/>
          <w:rtl w:val="0"/>
        </w:rPr>
        <w:t xml:space="preserve">Reproduce or exploit any Material for commercial gain.</w:t>
      </w:r>
    </w:p>
    <w:p w:rsidR="00000000" w:rsidDel="00000000" w:rsidP="00000000" w:rsidRDefault="00000000" w:rsidRPr="00000000" w14:paraId="00000013">
      <w:pPr>
        <w:spacing w:before="240" w:line="360" w:lineRule="auto"/>
        <w:jc w:val="both"/>
        <w:rPr>
          <w:sz w:val="28"/>
          <w:szCs w:val="28"/>
        </w:rPr>
      </w:pPr>
      <w:bookmarkStart w:colFirst="0" w:colLast="0" w:name="_30j0zll" w:id="1"/>
      <w:bookmarkEnd w:id="1"/>
      <w:r w:rsidDel="00000000" w:rsidR="00000000" w:rsidRPr="00000000">
        <w:rPr>
          <w:b w:val="1"/>
          <w:sz w:val="28"/>
          <w:szCs w:val="28"/>
          <w:rtl w:val="0"/>
        </w:rPr>
        <w:t xml:space="preserve">Name</w:t>
      </w:r>
      <w:r w:rsidDel="00000000" w:rsidR="00000000" w:rsidRPr="00000000">
        <w:rPr>
          <w:sz w:val="28"/>
          <w:szCs w:val="28"/>
          <w:rtl w:val="0"/>
        </w:rPr>
        <w:t xml:space="preserve"> (with salutation):</w:t>
      </w:r>
    </w:p>
    <w:p w:rsidR="00000000" w:rsidDel="00000000" w:rsidP="00000000" w:rsidRDefault="00000000" w:rsidRPr="00000000" w14:paraId="00000014">
      <w:pPr>
        <w:spacing w:line="360" w:lineRule="auto"/>
        <w:jc w:val="both"/>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(London, UK county, foreign country):</w:t>
      </w:r>
    </w:p>
    <w:p w:rsidR="00000000" w:rsidDel="00000000" w:rsidP="00000000" w:rsidRDefault="00000000" w:rsidRPr="00000000" w14:paraId="00000015">
      <w:pPr>
        <w:spacing w:line="360" w:lineRule="auto"/>
        <w:jc w:val="both"/>
        <w:rPr>
          <w:sz w:val="28"/>
          <w:szCs w:val="28"/>
        </w:rPr>
      </w:pPr>
      <w:r w:rsidDel="00000000" w:rsidR="00000000" w:rsidRPr="00000000">
        <w:rPr>
          <w:b w:val="1"/>
          <w:sz w:val="28"/>
          <w:szCs w:val="28"/>
          <w:rtl w:val="0"/>
        </w:rPr>
        <w:t xml:space="preserve">Email</w:t>
      </w:r>
      <w:r w:rsidDel="00000000" w:rsidR="00000000" w:rsidRPr="00000000">
        <w:rPr>
          <w:sz w:val="28"/>
          <w:szCs w:val="28"/>
          <w:rtl w:val="0"/>
        </w:rPr>
        <w:t xml:space="preserve">:</w:t>
      </w:r>
    </w:p>
    <w:p w:rsidR="00000000" w:rsidDel="00000000" w:rsidP="00000000" w:rsidRDefault="00000000" w:rsidRPr="00000000" w14:paraId="00000016">
      <w:pPr>
        <w:spacing w:line="360" w:lineRule="auto"/>
        <w:jc w:val="both"/>
        <w:rPr>
          <w:sz w:val="28"/>
          <w:szCs w:val="28"/>
        </w:rPr>
      </w:pPr>
      <w:r w:rsidDel="00000000" w:rsidR="00000000" w:rsidRPr="00000000">
        <w:rPr>
          <w:b w:val="1"/>
          <w:sz w:val="28"/>
          <w:szCs w:val="28"/>
          <w:rtl w:val="0"/>
        </w:rPr>
        <w:t xml:space="preserve">Print (or sign)</w:t>
      </w:r>
      <w:r w:rsidDel="00000000" w:rsidR="00000000" w:rsidRPr="00000000">
        <w:rPr>
          <w:sz w:val="28"/>
          <w:szCs w:val="28"/>
          <w:rtl w:val="0"/>
        </w:rPr>
        <w:t xml:space="preserve">:</w:t>
      </w:r>
    </w:p>
    <w:p w:rsidR="00000000" w:rsidDel="00000000" w:rsidP="00000000" w:rsidRDefault="00000000" w:rsidRPr="00000000" w14:paraId="00000017">
      <w:pPr>
        <w:spacing w:line="360" w:lineRule="auto"/>
        <w:jc w:val="both"/>
        <w:rPr>
          <w:sz w:val="26"/>
          <w:szCs w:val="26"/>
        </w:rPr>
      </w:pPr>
      <w:r w:rsidDel="00000000" w:rsidR="00000000" w:rsidRPr="00000000">
        <w:rPr>
          <w:b w:val="1"/>
          <w:sz w:val="28"/>
          <w:szCs w:val="28"/>
          <w:rtl w:val="0"/>
        </w:rPr>
        <w:t xml:space="preserve">Date</w:t>
      </w:r>
      <w:r w:rsidDel="00000000" w:rsidR="00000000" w:rsidRPr="00000000">
        <w:rPr>
          <w:sz w:val="28"/>
          <w:szCs w:val="28"/>
          <w:rtl w:val="0"/>
        </w:rPr>
        <w:t xml:space="preserve">:</w:t>
      </w:r>
      <w:r w:rsidDel="00000000" w:rsidR="00000000" w:rsidRPr="00000000">
        <w:rPr>
          <w:rtl w:val="0"/>
        </w:rPr>
      </w:r>
    </w:p>
    <w:sectPr>
      <w:headerReference r:id="rId8" w:type="default"/>
      <w:footerReference r:id="rId9" w:type="default"/>
      <w:pgSz w:h="15840" w:w="12240"/>
      <w:pgMar w:bottom="1135" w:top="2097" w:left="1080" w:right="1080" w:header="426" w:footer="22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Belleza">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Please fill in and return this form to </w:t>
    </w:r>
    <w:hyperlink r:id="rId1">
      <w:r w:rsidDel="00000000" w:rsidR="00000000" w:rsidRPr="00000000">
        <w:rPr>
          <w:rFonts w:ascii="Calibri" w:cs="Calibri" w:eastAsia="Calibri" w:hAnsi="Calibri"/>
          <w:b w:val="0"/>
          <w:i w:val="1"/>
          <w:smallCaps w:val="0"/>
          <w:strike w:val="0"/>
          <w:color w:val="0000ff"/>
          <w:sz w:val="24"/>
          <w:szCs w:val="24"/>
          <w:u w:val="single"/>
          <w:shd w:fill="auto" w:val="clear"/>
          <w:vertAlign w:val="baseline"/>
          <w:rtl w:val="0"/>
        </w:rPr>
        <w:t xml:space="preserve">library@sal.org.uk</w:t>
      </w:r>
    </w:hyperlink>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to register for Athens access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widowControl w:val="0"/>
      <w:spacing w:before="80" w:lineRule="auto"/>
      <w:jc w:val="right"/>
      <w:rPr>
        <w:rFonts w:ascii="Belleza" w:cs="Belleza" w:eastAsia="Belleza" w:hAnsi="Belleza"/>
        <w:color w:val="993366"/>
        <w:sz w:val="17"/>
        <w:szCs w:val="17"/>
      </w:rPr>
    </w:pPr>
    <w:r w:rsidDel="00000000" w:rsidR="00000000" w:rsidRPr="00000000">
      <w:rPr>
        <w:rFonts w:ascii="Belleza" w:cs="Belleza" w:eastAsia="Belleza" w:hAnsi="Belleza"/>
        <w:color w:val="993366"/>
        <w:sz w:val="17"/>
        <w:szCs w:val="17"/>
        <w:rtl w:val="0"/>
      </w:rPr>
      <w:t xml:space="preserve">Tel: 020 7479 7084 | Web: www.sal.org.uk | Twitter: @SocAntiquaries | Registered charity no. 207237</w:t>
      <w:br w:type="textWrapping"/>
      <w:t xml:space="preserve">Last reviewed: 17/09/2018</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511336" cy="1023304"/>
          <wp:effectExtent b="0" l="0" r="0" t="0"/>
          <wp:docPr descr="landscape" id="1" name="image1.jpg"/>
          <a:graphic>
            <a:graphicData uri="http://schemas.openxmlformats.org/drawingml/2006/picture">
              <pic:pic>
                <pic:nvPicPr>
                  <pic:cNvPr descr="landscape" id="0" name="image1.jpg"/>
                  <pic:cNvPicPr preferRelativeResize="0"/>
                </pic:nvPicPr>
                <pic:blipFill>
                  <a:blip r:embed="rId1"/>
                  <a:srcRect b="0" l="0" r="0" t="0"/>
                  <a:stretch>
                    <a:fillRect/>
                  </a:stretch>
                </pic:blipFill>
                <pic:spPr>
                  <a:xfrm>
                    <a:off x="0" y="0"/>
                    <a:ext cx="3511336" cy="102330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4367530</wp:posOffset>
          </wp:positionH>
          <wp:positionV relativeFrom="paragraph">
            <wp:posOffset>0</wp:posOffset>
          </wp:positionV>
          <wp:extent cx="1893570" cy="428625"/>
          <wp:effectExtent b="0" l="0" r="0" t="0"/>
          <wp:wrapSquare wrapText="bothSides" distB="0" distT="0" distL="114300" distR="114300"/>
          <wp:docPr descr="K:\Library &amp; Collections\Serials management\Electronic resources\Athens\Display\logos\openathens.png" id="2" name="image2.png"/>
          <a:graphic>
            <a:graphicData uri="http://schemas.openxmlformats.org/drawingml/2006/picture">
              <pic:pic>
                <pic:nvPicPr>
                  <pic:cNvPr descr="K:\Library &amp; Collections\Serials management\Electronic resources\Athens\Display\logos\openathens.png" id="0" name="image2.png"/>
                  <pic:cNvPicPr preferRelativeResize="0"/>
                </pic:nvPicPr>
                <pic:blipFill>
                  <a:blip r:embed="rId2"/>
                  <a:srcRect b="0" l="0" r="0" t="0"/>
                  <a:stretch>
                    <a:fillRect/>
                  </a:stretch>
                </pic:blipFill>
                <pic:spPr>
                  <a:xfrm>
                    <a:off x="0" y="0"/>
                    <a:ext cx="189357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al.org.uk/privacy/" TargetMode="External"/><Relationship Id="rId7" Type="http://schemas.openxmlformats.org/officeDocument/2006/relationships/hyperlink" Target="https://www.sal.org.uk/privac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footer1.xml.rels><?xml version="1.0" encoding="UTF-8" standalone="yes"?><Relationships xmlns="http://schemas.openxmlformats.org/package/2006/relationships"><Relationship Id="rId1" Type="http://schemas.openxmlformats.org/officeDocument/2006/relationships/hyperlink" Target="mailto:library@sa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